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5C2EC8" w:rsidRPr="00AB3E99" w14:paraId="060477CA" w14:textId="77777777" w:rsidTr="00475C28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6D7177AB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BA195D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985CAE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BA195D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985CA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4BCAB3FC" w:rsidR="005C2EC8" w:rsidRPr="00AB3E99" w:rsidRDefault="00845288" w:rsidP="00985CAE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550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Житомирській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985CA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</w:t>
            </w:r>
            <w:r w:rsidR="00F550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976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475C28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  <w:tcMar>
              <w:left w:w="85" w:type="dxa"/>
              <w:right w:w="85" w:type="dxa"/>
            </w:tcMar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835855E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F55002">
              <w:rPr>
                <w:sz w:val="20"/>
                <w:szCs w:val="20"/>
                <w:lang w:eastAsia="uk-UA"/>
              </w:rPr>
              <w:t>Житомирській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15B1E3D3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54555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proofErr w:type="spellEnd"/>
            <w:r w:rsidR="00545553" w:rsidRPr="005455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54555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74CC6909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31816315" w14:textId="06E3187F" w:rsidR="005C2EC8" w:rsidRPr="00E57D15" w:rsidRDefault="005C2EC8" w:rsidP="00E57D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0412) 4</w:t>
            </w:r>
            <w:r w:rsidR="00E57D15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E57D15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38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E57D15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0BBC5FBC" w14:textId="74E50685" w:rsidR="00183730" w:rsidRDefault="00D248DB" w:rsidP="00183730">
      <w:pPr>
        <w:pStyle w:val="--12"/>
      </w:pPr>
      <w:r w:rsidRPr="00D248DB">
        <w:t xml:space="preserve">Споживчі ціни у </w:t>
      </w:r>
      <w:r w:rsidR="00985CAE">
        <w:t>жовт</w:t>
      </w:r>
      <w:r w:rsidRPr="00D248DB">
        <w:t xml:space="preserve">ні 2025р. порівняно з </w:t>
      </w:r>
      <w:r w:rsidR="00985CAE">
        <w:t>верес</w:t>
      </w:r>
      <w:r w:rsidRPr="00D248DB">
        <w:t>нем 2025р. по області зросли на 0,</w:t>
      </w:r>
      <w:r w:rsidR="00985CAE">
        <w:t>8</w:t>
      </w:r>
      <w:r w:rsidRPr="00D248DB">
        <w:t>%, по Україні – на 0,</w:t>
      </w:r>
      <w:r w:rsidR="00985CAE">
        <w:t>9</w:t>
      </w:r>
      <w:r w:rsidRPr="00D248DB">
        <w:t xml:space="preserve">%, з початку року зросли на </w:t>
      </w:r>
      <w:r w:rsidR="00985CAE">
        <w:t>7,6</w:t>
      </w:r>
      <w:r w:rsidRPr="00D248DB">
        <w:t xml:space="preserve">% та </w:t>
      </w:r>
      <w:r w:rsidR="00985CAE">
        <w:t>7,3</w:t>
      </w:r>
      <w:r w:rsidRPr="00D248DB">
        <w:t>% відповідно.</w:t>
      </w:r>
      <w:r w:rsidRPr="00D248DB">
        <w:rPr>
          <w:lang w:val="ru-RU"/>
        </w:rPr>
        <w:t xml:space="preserve"> </w:t>
      </w: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112D659A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36CD87DD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0D7C740" w14:textId="77777777" w:rsidR="006B3A32" w:rsidRDefault="006B3A32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5000" w:type="pct"/>
        <w:jc w:val="center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05"/>
        <w:gridCol w:w="1761"/>
        <w:gridCol w:w="1762"/>
      </w:tblGrid>
      <w:tr w:rsidR="00464B9F" w14:paraId="2BBD06CF" w14:textId="77777777" w:rsidTr="00AF70D8">
        <w:trPr>
          <w:trHeight w:val="397"/>
          <w:jc w:val="center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4E41318E" w:rsidR="00464B9F" w:rsidRDefault="006701A3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 до</w:t>
            </w:r>
          </w:p>
        </w:tc>
      </w:tr>
      <w:tr w:rsidR="00464B9F" w14:paraId="05E2E462" w14:textId="77777777" w:rsidTr="00AF70D8">
        <w:trPr>
          <w:trHeight w:val="340"/>
          <w:jc w:val="center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2BD09A39" w:rsidR="00464B9F" w:rsidRDefault="006701A3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вересня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25FC5E74" w:rsidR="00464B9F" w:rsidRDefault="00F4211F" w:rsidP="00A546CA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A546C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70102799" w:rsidR="00464B9F" w:rsidRPr="00A546CA" w:rsidRDefault="00A546CA" w:rsidP="003D0B51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6701A3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6011D229" w:rsidR="00464B9F" w:rsidRDefault="006701A3" w:rsidP="006701A3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</w:t>
            </w:r>
            <w:r w:rsidR="00A546CA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</w:p>
        </w:tc>
      </w:tr>
      <w:tr w:rsidR="00464B9F" w14:paraId="26E532DA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265F85E2" w:rsidR="00464B9F" w:rsidRDefault="006701A3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75D3C55B" w:rsidR="00464B9F" w:rsidRDefault="006701A3" w:rsidP="006701A3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  <w:r w:rsidR="00A546CA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464B9F" w14:paraId="7F255F5B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58472486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5DB8931C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464B9F" w14:paraId="58B980C0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016D3543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1E1155F2" w:rsidR="00464B9F" w:rsidRDefault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,5</w:t>
            </w:r>
          </w:p>
        </w:tc>
      </w:tr>
      <w:tr w:rsidR="00464B9F" w14:paraId="0EB17AF8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12AFE8B8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46B4480D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</w:tr>
      <w:tr w:rsidR="00464B9F" w14:paraId="78B1F1F8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17C0A2BF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59273595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,6</w:t>
            </w:r>
          </w:p>
        </w:tc>
      </w:tr>
      <w:tr w:rsidR="00464B9F" w14:paraId="6485CAB5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2EE3F6FF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47142854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464B9F" w14:paraId="12320FB1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55D9CEDA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23AD7719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464B9F" w14:paraId="5483A3E7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41ACEF3D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41BF9847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  <w:tr w:rsidR="00464B9F" w14:paraId="41234D31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3417258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114C7DCD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</w:tr>
      <w:tr w:rsidR="00464B9F" w14:paraId="66A9A711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4887ADC4" w:rsidR="00464B9F" w:rsidRDefault="006701A3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13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4F997B31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464B9F" w14:paraId="0D104B52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04488E4F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7472D09B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464B9F" w14:paraId="209F2CFF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39F6D133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6FD428DB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464B9F" w14:paraId="0FE30D0F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0F10AF4B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320C8877" w:rsidR="00464B9F" w:rsidRDefault="00DA0C38" w:rsidP="006701A3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</w:p>
        </w:tc>
      </w:tr>
      <w:tr w:rsidR="00464B9F" w14:paraId="7019EC9D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28D60436" w:rsidR="00464B9F" w:rsidRDefault="00FB2AD1" w:rsidP="00FB2AD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10A273AC" w:rsidR="00464B9F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464B9F" w14:paraId="5BF866F6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68C011BB" w:rsidR="00464B9F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73990A57" w:rsidR="00464B9F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464B9F" w14:paraId="25B40A72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756E0C60" w:rsidR="00464B9F" w:rsidRDefault="00480AC0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79CC4EDC" w:rsidR="00464B9F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464B9F" w14:paraId="1C54BFDE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740770A7" w:rsidR="00464B9F" w:rsidRDefault="00DA0C38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231548A7" w:rsidR="00464B9F" w:rsidRDefault="00DA0C38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37204B" w14:paraId="595BE09A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09EDA843" w:rsidR="0037204B" w:rsidRDefault="00DA0C38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6A7F3FB9" w:rsidR="0037204B" w:rsidRDefault="00DA0C38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37204B" w14:paraId="017539AD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2BF6F54D" w:rsidR="0037204B" w:rsidRDefault="00480AC0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304791A3" w:rsidR="0037204B" w:rsidRDefault="00DA0C38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37204B" w14:paraId="53B129FD" w14:textId="77777777" w:rsidTr="00AF70D8">
        <w:trPr>
          <w:jc w:val="center"/>
        </w:trPr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4CC47B60" w:rsidR="0037204B" w:rsidRDefault="00480AC0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F34DA53" w:rsidR="0037204B" w:rsidRDefault="00480AC0" w:rsidP="00480AC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103A8D5" w14:textId="77777777" w:rsidR="006B3A32" w:rsidRDefault="006B3A32" w:rsidP="0038775F">
      <w:pPr>
        <w:pStyle w:val="--12"/>
        <w:ind w:firstLine="0"/>
        <w:jc w:val="right"/>
        <w:rPr>
          <w:sz w:val="22"/>
          <w:szCs w:val="22"/>
        </w:rPr>
      </w:pPr>
    </w:p>
    <w:p w14:paraId="7470D143" w14:textId="77777777" w:rsidR="006B3A32" w:rsidRDefault="006B3A32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5000" w:type="pct"/>
        <w:jc w:val="center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05"/>
        <w:gridCol w:w="1761"/>
        <w:gridCol w:w="1762"/>
      </w:tblGrid>
      <w:tr w:rsidR="00B128E5" w14:paraId="7694EE4E" w14:textId="77777777" w:rsidTr="00AF70D8">
        <w:trPr>
          <w:trHeight w:val="397"/>
          <w:jc w:val="center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bookmarkStart w:id="1" w:name="_GoBack"/>
            <w:bookmarkEnd w:id="1"/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6C84F2AD" w:rsidR="00B128E5" w:rsidRDefault="006701A3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 до</w:t>
            </w:r>
          </w:p>
        </w:tc>
      </w:tr>
      <w:tr w:rsidR="00B128E5" w14:paraId="1AF80AB7" w14:textId="77777777" w:rsidTr="00AF70D8">
        <w:trPr>
          <w:trHeight w:val="340"/>
          <w:jc w:val="center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27086F82" w:rsidR="00B128E5" w:rsidRDefault="006701A3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289B18A" w:rsidR="00B128E5" w:rsidRDefault="00A546CA" w:rsidP="00A546C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2024 </w:t>
            </w:r>
          </w:p>
        </w:tc>
      </w:tr>
      <w:tr w:rsidR="00B128E5" w14:paraId="7CA5D5AB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27EB15EA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5C149A33" w:rsidR="00B128E5" w:rsidRDefault="00480AC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</w:tr>
      <w:tr w:rsidR="00B128E5" w14:paraId="38574D77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659826E0" w:rsidR="00B128E5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569BE7FF" w:rsidR="00B128E5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B128E5" w14:paraId="3885A02D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471E69E6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74D16AED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2100062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18F8C9FB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1B69646C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53E4C9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50CF84B9" w:rsidR="00B128E5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2381D7B4" w:rsidR="00B128E5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  <w:tr w:rsidR="00B128E5" w14:paraId="3822A168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5E2FF85C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7157DB0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527A942D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43936D45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09D3D1A0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1E1DADA3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739AF6C4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05363A02" w:rsidR="00B128E5" w:rsidRDefault="00480AC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2,8</w:t>
            </w:r>
          </w:p>
        </w:tc>
      </w:tr>
      <w:tr w:rsidR="00B128E5" w14:paraId="4C5A6CA5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068965C7" w:rsidR="00B128E5" w:rsidRDefault="00480AC0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50301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15E3CAD2" w:rsidR="00B128E5" w:rsidRDefault="00C27770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B128E5" w14:paraId="19A6E215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043F78E3" w:rsidR="00B128E5" w:rsidRDefault="00C27770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1A3B5832" w:rsidR="00B128E5" w:rsidRDefault="00C27770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B128E5" w14:paraId="7C49B8BC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0256DE7C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35848E21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</w:tr>
      <w:tr w:rsidR="00B128E5" w14:paraId="2A7379AA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675E82D1" w:rsidR="00B128E5" w:rsidRDefault="00C2777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7932A25D" w:rsidR="00B128E5" w:rsidRDefault="00C27770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</w:tr>
      <w:tr w:rsidR="00B128E5" w14:paraId="132A8E02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551D848D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200A1F4B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B128E5" w14:paraId="57ADED9F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42F10AA3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997561C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B128E5" w14:paraId="787FFB38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39BBDFDF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0CD3A262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  <w:tr w:rsidR="00B128E5" w14:paraId="54CE2ECE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2930D441" w:rsidR="00B128E5" w:rsidRDefault="00C27770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7312F36D" w:rsidR="00B128E5" w:rsidRDefault="00DA0C38" w:rsidP="00C2777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</w:p>
        </w:tc>
      </w:tr>
      <w:tr w:rsidR="00B128E5" w14:paraId="74EEDFCB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71019583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5F1F0C6C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B128E5" w14:paraId="60282025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6012459A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47EECB33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B128E5" w14:paraId="7340EDA5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1C276E9F" w:rsidR="00B128E5" w:rsidRDefault="00C27770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696FB008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B128E5" w14:paraId="5FC36677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311F6A54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7B5BCE7D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</w:tr>
      <w:tr w:rsidR="00B128E5" w14:paraId="53E5D277" w14:textId="77777777" w:rsidTr="00AF70D8">
        <w:trPr>
          <w:jc w:val="center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7FA38543" w:rsidR="00B128E5" w:rsidRDefault="00AA169B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5757C621" w:rsidR="00B128E5" w:rsidRDefault="00C27770" w:rsidP="00C2777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5000" w:type="pct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960"/>
      </w:tblGrid>
      <w:tr w:rsidR="006E3757" w:rsidRPr="006E3757" w14:paraId="613197D9" w14:textId="77777777" w:rsidTr="00AF70D8">
        <w:trPr>
          <w:jc w:val="center"/>
        </w:trPr>
        <w:tc>
          <w:tcPr>
            <w:tcW w:w="4678" w:type="dxa"/>
          </w:tcPr>
          <w:p w14:paraId="53F07D0D" w14:textId="77FB3313" w:rsidR="00EA121B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у </w:t>
            </w:r>
            <w:r w:rsidR="00985CAE">
              <w:rPr>
                <w:rFonts w:ascii="Calibri" w:hAnsi="Calibri"/>
                <w:color w:val="22517D"/>
                <w:sz w:val="22"/>
                <w:szCs w:val="22"/>
              </w:rPr>
              <w:t>жовт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ні </w:t>
            </w:r>
            <w:r w:rsidR="00357954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продукти харчування та безалкогольні напої </w:t>
            </w:r>
            <w:r w:rsidR="00985CAE">
              <w:rPr>
                <w:rFonts w:ascii="Calibri" w:hAnsi="Calibri"/>
                <w:color w:val="22517D"/>
                <w:sz w:val="22"/>
                <w:szCs w:val="22"/>
              </w:rPr>
              <w:t>зросли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985CAE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>подорожчали яйця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 – на 13,6%,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сало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 –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>9,9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>%, борошно та крупи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 – на 4,2%, 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соняшникова олія 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>на 2,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%. Також зросли </w:t>
            </w:r>
            <w:r w:rsidR="00EA121B" w:rsidRPr="00EA121B">
              <w:rPr>
                <w:rFonts w:ascii="Calibri" w:hAnsi="Calibri"/>
                <w:color w:val="22517D"/>
                <w:spacing w:val="-6"/>
                <w:sz w:val="22"/>
                <w:szCs w:val="22"/>
              </w:rPr>
              <w:t>ціни на маргарин та інші рослинні жири,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A121B" w:rsidRPr="006B3A32">
              <w:rPr>
                <w:rFonts w:ascii="Calibri" w:hAnsi="Calibri"/>
                <w:color w:val="22517D"/>
                <w:sz w:val="22"/>
                <w:szCs w:val="22"/>
              </w:rPr>
              <w:t>шоколад,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 xml:space="preserve"> яловичину, свинину, м’ясо птиці – на 1,8-0,8%.</w:t>
            </w:r>
          </w:p>
          <w:p w14:paraId="0FF2CC83" w14:textId="7C057A83" w:rsidR="00EA121B" w:rsidRDefault="00EA121B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Водночас,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п</w:t>
            </w:r>
            <w:r w:rsidR="006B3A32" w:rsidRPr="006B3A32">
              <w:rPr>
                <w:rFonts w:ascii="Calibri" w:hAnsi="Calibri"/>
                <w:color w:val="22517D"/>
                <w:sz w:val="22"/>
                <w:szCs w:val="22"/>
              </w:rPr>
              <w:t>одешевшали цукор, соуси та припра</w:t>
            </w:r>
            <w:r w:rsidR="006B3A32">
              <w:rPr>
                <w:rFonts w:ascii="Calibri" w:hAnsi="Calibri"/>
                <w:color w:val="22517D"/>
                <w:sz w:val="22"/>
                <w:szCs w:val="22"/>
              </w:rPr>
              <w:t>ви,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рис, морозиво,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м’який сир (</w:t>
            </w:r>
            <w:proofErr w:type="spellStart"/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творог</w:t>
            </w:r>
            <w:proofErr w:type="spellEnd"/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), кава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масло та чай – на 1,9-0,4%.</w:t>
            </w:r>
          </w:p>
          <w:p w14:paraId="54D734E1" w14:textId="6F9F04A2" w:rsidR="00FF60A9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овочі 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>зросли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загалом на </w:t>
            </w:r>
            <w:r w:rsidR="00EA121B">
              <w:rPr>
                <w:rFonts w:ascii="Calibri" w:hAnsi="Calibri"/>
                <w:color w:val="22517D"/>
                <w:sz w:val="22"/>
                <w:szCs w:val="22"/>
              </w:rPr>
              <w:t>9,2% за рахунок подорожчання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овочі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>, вирощен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их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з насіння,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51,6%. При цьому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картопля подешевшала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15,0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капуста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4,1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519FA284" w14:textId="341C714E" w:rsidR="006B3A32" w:rsidRPr="006B3A32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Ціни на фру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кти знизились в цілому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,4%: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подешевшали яблука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15,6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5F326C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та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банани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0,5%,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>цитрусові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зросли в ціні на 2,4%.</w:t>
            </w:r>
          </w:p>
          <w:p w14:paraId="742A8049" w14:textId="2EE400F5" w:rsidR="006B3A32" w:rsidRPr="006B3A32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Тютюнові вироби подорожчали на 1,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%, алкогольні напої –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подешевшали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015F9F8E" w14:textId="16D667BC" w:rsidR="00273B54" w:rsidRPr="00D25EC4" w:rsidRDefault="006B3A32" w:rsidP="00525AB4">
            <w:pPr>
              <w:widowControl w:val="0"/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У сфері охорони здоров’я подорожчала фармацевтична продукція –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0,8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медичні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– на 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0,3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525AB4">
              <w:rPr>
                <w:rFonts w:ascii="Calibri" w:hAnsi="Calibri"/>
                <w:color w:val="22517D"/>
                <w:sz w:val="22"/>
                <w:szCs w:val="22"/>
              </w:rPr>
              <w:t>Збільшились ціни на о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ренд</w:t>
            </w:r>
            <w:r w:rsidR="00525AB4">
              <w:rPr>
                <w:rFonts w:ascii="Calibri" w:hAnsi="Calibri"/>
                <w:color w:val="22517D"/>
                <w:sz w:val="22"/>
                <w:szCs w:val="22"/>
              </w:rPr>
              <w:t>у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житла на 1,9%. П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ослуги 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>автодорожнього паса</w:t>
            </w:r>
            <w:r w:rsidR="00525AB4">
              <w:rPr>
                <w:rFonts w:ascii="Calibri" w:hAnsi="Calibri"/>
                <w:color w:val="22517D"/>
                <w:sz w:val="22"/>
                <w:szCs w:val="22"/>
              </w:rPr>
              <w:softHyphen/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>жирського транс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softHyphen/>
              <w:t>порту зросли в ціні на 3,0%,</w:t>
            </w:r>
            <w:r w:rsidR="00A03833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>послуги</w:t>
            </w:r>
            <w:r w:rsidR="00A03833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ресторанів та готелів 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>на 1,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>о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>дя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г і взуття </w:t>
            </w:r>
            <w:r w:rsidR="00A03833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на 0,2%.</w:t>
            </w:r>
            <w:r w:rsidR="00FF60A9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в'язок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подешевшав на 0,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FF60A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06C2220E">
                  <wp:extent cx="3095625" cy="1129665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26CD3EE5">
                  <wp:extent cx="3143250" cy="1129665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66760FE1">
                  <wp:extent cx="3086735" cy="1129665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AF70D8">
        <w:trPr>
          <w:jc w:val="center"/>
        </w:trPr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AF70D8">
        <w:trPr>
          <w:jc w:val="center"/>
        </w:trPr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AF70D8">
        <w:trPr>
          <w:jc w:val="center"/>
        </w:trPr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AF70D8">
        <w:trPr>
          <w:jc w:val="center"/>
        </w:trPr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AF70D8">
        <w:trPr>
          <w:jc w:val="center"/>
        </w:trPr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AF70D8">
        <w:trPr>
          <w:jc w:val="center"/>
        </w:trPr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AF70D8">
        <w:trPr>
          <w:jc w:val="center"/>
        </w:trPr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AF70D8">
        <w:trPr>
          <w:jc w:val="center"/>
        </w:trPr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9773FC0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42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13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45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8" w:history="1"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cina</w:t>
              </w:r>
              <w:r w:rsidR="00212E83" w:rsidRPr="00A546CA">
                <w:rPr>
                  <w:rStyle w:val="a5"/>
                  <w:rFonts w:ascii="Calibri Light" w:hAnsi="Calibri Light" w:cs="Calibri Light"/>
                  <w:sz w:val="20"/>
                  <w:szCs w:val="20"/>
                  <w:lang w:val="ru-RU"/>
                </w:rPr>
                <w:t>_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gus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</w:rPr>
                <w:t>@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zt</w:t>
              </w:r>
              <w:r w:rsidR="00212E83" w:rsidRPr="00A546CA">
                <w:rPr>
                  <w:rStyle w:val="a5"/>
                  <w:rFonts w:ascii="Calibri Light" w:hAnsi="Calibri Light" w:cs="Calibri Light"/>
                  <w:sz w:val="20"/>
                  <w:szCs w:val="20"/>
                  <w:lang w:val="ru-RU"/>
                </w:rPr>
                <w:t>.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ukrstat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</w:rPr>
                <w:t>.gov.ua</w:t>
              </w:r>
            </w:hyperlink>
          </w:p>
          <w:p w14:paraId="64F92E3D" w14:textId="3929313B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</w:t>
            </w:r>
            <w:r w:rsidR="004C3E85" w:rsidRPr="004C3E85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 xml:space="preserve"> </w:t>
            </w:r>
            <w:hyperlink r:id="rId29" w:history="1">
              <w:r w:rsidR="004C3E85" w:rsidRPr="00F919F5">
                <w:rPr>
                  <w:rStyle w:val="a5"/>
                  <w:rFonts w:ascii="Calibri Light" w:hAnsi="Calibri Light" w:cs="Calibri Light"/>
                  <w:sz w:val="20"/>
                  <w:szCs w:val="20"/>
                  <w:lang w:val="ru-RU"/>
                </w:rPr>
                <w:t>https://zt.ukrstat.gov.ua</w:t>
              </w:r>
            </w:hyperlink>
            <w:r w:rsidR="004C3E85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4A64FA8C" w:rsidR="00356050" w:rsidRPr="00356050" w:rsidRDefault="00356050" w:rsidP="00212E83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212E83" w:rsidRP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Житомирській області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F209E" w14:textId="77777777" w:rsidR="00D82B25" w:rsidRDefault="00D82B25" w:rsidP="005345A4">
      <w:r>
        <w:separator/>
      </w:r>
    </w:p>
  </w:endnote>
  <w:endnote w:type="continuationSeparator" w:id="0">
    <w:p w14:paraId="3D383077" w14:textId="77777777" w:rsidR="00D82B25" w:rsidRDefault="00D82B2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586542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9A81F" w14:textId="77777777" w:rsidR="00D82B25" w:rsidRDefault="00D82B25" w:rsidP="005345A4">
      <w:r>
        <w:separator/>
      </w:r>
    </w:p>
  </w:footnote>
  <w:footnote w:type="continuationSeparator" w:id="0">
    <w:p w14:paraId="44064E21" w14:textId="77777777" w:rsidR="00D82B25" w:rsidRDefault="00D82B2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8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8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8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9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9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9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9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9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9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9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9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579BE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2E83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17B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40E5"/>
    <w:rsid w:val="002A7545"/>
    <w:rsid w:val="002C0E14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1F8F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954"/>
    <w:rsid w:val="00357A0C"/>
    <w:rsid w:val="00363263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0B51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5C28"/>
    <w:rsid w:val="00476523"/>
    <w:rsid w:val="00476F0F"/>
    <w:rsid w:val="00480431"/>
    <w:rsid w:val="00480AC0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3E85"/>
    <w:rsid w:val="004C50E5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3010"/>
    <w:rsid w:val="0050459D"/>
    <w:rsid w:val="005058BB"/>
    <w:rsid w:val="005128F4"/>
    <w:rsid w:val="0052004B"/>
    <w:rsid w:val="0052077A"/>
    <w:rsid w:val="00521B65"/>
    <w:rsid w:val="00525AB4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553"/>
    <w:rsid w:val="00545A7F"/>
    <w:rsid w:val="00545E01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6542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26C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01A3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3A32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466"/>
    <w:rsid w:val="00757281"/>
    <w:rsid w:val="00766689"/>
    <w:rsid w:val="00766BC3"/>
    <w:rsid w:val="00766EC8"/>
    <w:rsid w:val="007671B2"/>
    <w:rsid w:val="00773B81"/>
    <w:rsid w:val="00776B29"/>
    <w:rsid w:val="0078111F"/>
    <w:rsid w:val="007818D2"/>
    <w:rsid w:val="0078504D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55BD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336C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CAE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5068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833"/>
    <w:rsid w:val="00A03D04"/>
    <w:rsid w:val="00A07747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46CA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169B"/>
    <w:rsid w:val="00AA2C96"/>
    <w:rsid w:val="00AA483D"/>
    <w:rsid w:val="00AA4FCE"/>
    <w:rsid w:val="00AA5AE8"/>
    <w:rsid w:val="00AA6195"/>
    <w:rsid w:val="00AB09A5"/>
    <w:rsid w:val="00AB16D7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AF70D8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195D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213C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487A"/>
    <w:rsid w:val="00C25704"/>
    <w:rsid w:val="00C273F6"/>
    <w:rsid w:val="00C27770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65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5932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48DB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57F1"/>
    <w:rsid w:val="00D662EB"/>
    <w:rsid w:val="00D7190A"/>
    <w:rsid w:val="00D71ED1"/>
    <w:rsid w:val="00D72702"/>
    <w:rsid w:val="00D7555B"/>
    <w:rsid w:val="00D75CD6"/>
    <w:rsid w:val="00D75EC3"/>
    <w:rsid w:val="00D80590"/>
    <w:rsid w:val="00D82B25"/>
    <w:rsid w:val="00D86D05"/>
    <w:rsid w:val="00D93A04"/>
    <w:rsid w:val="00D955E7"/>
    <w:rsid w:val="00DA031E"/>
    <w:rsid w:val="00DA0C38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07C42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6E03"/>
    <w:rsid w:val="00E57A9C"/>
    <w:rsid w:val="00E57CFF"/>
    <w:rsid w:val="00E57D15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21B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2C99"/>
    <w:rsid w:val="00ED3347"/>
    <w:rsid w:val="00ED544B"/>
    <w:rsid w:val="00ED5771"/>
    <w:rsid w:val="00ED5CBF"/>
    <w:rsid w:val="00ED63FC"/>
    <w:rsid w:val="00ED7CA8"/>
    <w:rsid w:val="00EE0476"/>
    <w:rsid w:val="00EE5FAB"/>
    <w:rsid w:val="00EE7FFE"/>
    <w:rsid w:val="00EF31B2"/>
    <w:rsid w:val="00EF390F"/>
    <w:rsid w:val="00EF486E"/>
    <w:rsid w:val="00EF62D0"/>
    <w:rsid w:val="00F0151D"/>
    <w:rsid w:val="00F0215C"/>
    <w:rsid w:val="00F04F6F"/>
    <w:rsid w:val="00F07491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5002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2AD1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hyperlink" Target="https://zt.ukrstat.gov.u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cina_gus@zt.ukrstat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88557547327861"/>
          <c:y val="7.434944237918216E-2"/>
          <c:w val="0.83855886995088658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966493550008385E-2"/>
                  <c:y val="4.029878151003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25060179347661E-2"/>
                  <c:y val="-3.555787361659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883626808687028E-2"/>
                  <c:y val="4.5471310003113413E-2"/>
                </c:manualLayout>
              </c:layout>
              <c:tx>
                <c:rich>
                  <a:bodyPr/>
                  <a:lstStyle/>
                  <a:p>
                    <a:fld id="{849E5ECA-6697-45E0-A7E2-FDACBDFCBF8E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6.2362910123356638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40391B8D-DF6C-4CD7-9DE6-77EEFE5081C3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7883626808686986E-2"/>
                  <c:y val="3.8712269786824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925060179347682E-2"/>
                  <c:y val="-4.915525302493666E-2"/>
                </c:manualLayout>
              </c:layout>
              <c:tx>
                <c:rich>
                  <a:bodyPr/>
                  <a:lstStyle/>
                  <a:p>
                    <a:fld id="{1F01A193-E289-436C-A2C7-29164DE27839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6.2362910123356721E-2"/>
                  <c:y val="3.8791568762590045E-2"/>
                </c:manualLayout>
              </c:layout>
              <c:tx>
                <c:rich>
                  <a:bodyPr/>
                  <a:lstStyle/>
                  <a:p>
                    <a:fld id="{74437A6C-E260-46DD-ADD1-C11FEB92A72D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3404343494017417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765E-2"/>
                  <c:y val="-4.9994544869116773E-2"/>
                </c:manualLayout>
              </c:layout>
              <c:tx>
                <c:rich>
                  <a:bodyPr/>
                  <a:lstStyle/>
                  <a:p>
                    <a:fld id="{DF7813AA-5FF6-4FAE-87DB-51BA18EAF5CA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7.1321476752695942E-2"/>
                  <c:y val="3.2032528546300634E-2"/>
                </c:manualLayout>
              </c:layout>
              <c:tx>
                <c:rich>
                  <a:bodyPr/>
                  <a:lstStyle/>
                  <a:p>
                    <a:fld id="{49AA57AE-E5D2-4BDB-BAA9-82AC6DCCD315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3.9966493550008378E-2"/>
                  <c:y val="3.295111936624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8.0604879597217197E-2"/>
                  <c:y val="-3.7135337805653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1.8</c:v>
                </c:pt>
                <c:pt idx="1">
                  <c:v>2.2999999999999998</c:v>
                </c:pt>
                <c:pt idx="2">
                  <c:v>1</c:v>
                </c:pt>
                <c:pt idx="3">
                  <c:v>1.4</c:v>
                </c:pt>
                <c:pt idx="4">
                  <c:v>0.9</c:v>
                </c:pt>
                <c:pt idx="5">
                  <c:v>1</c:v>
                </c:pt>
                <c:pt idx="6">
                  <c:v>0.6</c:v>
                </c:pt>
                <c:pt idx="7">
                  <c:v>1.4</c:v>
                </c:pt>
                <c:pt idx="8">
                  <c:v>1</c:v>
                </c:pt>
                <c:pt idx="9">
                  <c:v>-0.1</c:v>
                </c:pt>
                <c:pt idx="10">
                  <c:v>-0.2</c:v>
                </c:pt>
                <c:pt idx="11">
                  <c:v>0.6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435664"/>
        <c:axId val="299459968"/>
      </c:lineChart>
      <c:catAx>
        <c:axId val="25743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9459968"/>
        <c:crosses val="autoZero"/>
        <c:auto val="1"/>
        <c:lblAlgn val="ctr"/>
        <c:lblOffset val="100"/>
        <c:noMultiLvlLbl val="0"/>
      </c:catAx>
      <c:valAx>
        <c:axId val="299459968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743566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36291012335663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28E-2"/>
                  <c:y val="-5.5914293241225918E-2"/>
                </c:manualLayout>
              </c:layout>
              <c:tx>
                <c:rich>
                  <a:bodyPr/>
                  <a:lstStyle/>
                  <a:p>
                    <a:fld id="{7957C948-1259-4D10-9B56-62441E49C5C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6.2362910123356603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684219343802629E-2"/>
                  <c:y val="-4.9155253024936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334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883626808687069E-2"/>
                  <c:y val="-5.315053766302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1.4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5.4</c:v>
                </c:pt>
                <c:pt idx="5">
                  <c:v>6.5</c:v>
                </c:pt>
                <c:pt idx="6">
                  <c:v>6.4</c:v>
                </c:pt>
                <c:pt idx="7">
                  <c:v>6.1</c:v>
                </c:pt>
                <c:pt idx="8">
                  <c:v>6.8</c:v>
                </c:pt>
                <c:pt idx="9">
                  <c:v>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4631168"/>
        <c:axId val="355776064"/>
      </c:lineChart>
      <c:catAx>
        <c:axId val="304631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5776064"/>
        <c:crosses val="autoZero"/>
        <c:auto val="1"/>
        <c:lblAlgn val="ctr"/>
        <c:lblOffset val="100"/>
        <c:noMultiLvlLbl val="0"/>
      </c:catAx>
      <c:valAx>
        <c:axId val="355776064"/>
        <c:scaling>
          <c:orientation val="minMax"/>
          <c:max val="8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63116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7.434944237918216E-2"/>
          <c:w val="0.87836846274831548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22E-2"/>
                  <c:y val="4.6990036869337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917057931563679E-2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36E-2"/>
                  <c:y val="6.6455099520654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95093729187673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7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73241799215089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0278538532187795E-2"/>
                  <c:y val="-5.5835136965383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269633138296016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6060019232462075E-2"/>
                  <c:y val="4.5345301483183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6.4265069733062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4.397321329774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18179991265E-2"/>
                  <c:y val="-6.844949608954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2.8</c:v>
                </c:pt>
                <c:pt idx="1">
                  <c:v>3.9</c:v>
                </c:pt>
                <c:pt idx="2">
                  <c:v>1.6</c:v>
                </c:pt>
                <c:pt idx="3">
                  <c:v>1.7</c:v>
                </c:pt>
                <c:pt idx="4">
                  <c:v>1.4</c:v>
                </c:pt>
                <c:pt idx="5">
                  <c:v>1.3</c:v>
                </c:pt>
                <c:pt idx="6">
                  <c:v>1.4</c:v>
                </c:pt>
                <c:pt idx="7">
                  <c:v>2.9</c:v>
                </c:pt>
                <c:pt idx="8">
                  <c:v>1.6</c:v>
                </c:pt>
                <c:pt idx="9">
                  <c:v>-0.8</c:v>
                </c:pt>
                <c:pt idx="10">
                  <c:v>-0.4</c:v>
                </c:pt>
                <c:pt idx="11">
                  <c:v>-0.7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4850512"/>
        <c:axId val="356979776"/>
      </c:lineChart>
      <c:catAx>
        <c:axId val="30485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6979776"/>
        <c:crosses val="autoZero"/>
        <c:auto val="1"/>
        <c:lblAlgn val="ctr"/>
        <c:lblOffset val="200"/>
        <c:noMultiLvlLbl val="0"/>
      </c:catAx>
      <c:valAx>
        <c:axId val="35697977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85051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75996182295399E-2"/>
          <c:y val="7.434944237918216E-2"/>
          <c:w val="0.89893899626183094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976537023781125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802910999761411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94893820088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49F5C1D8-A6DD-4483-B386-D001E2747223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1782490487571144E-2"/>
                  <c:y val="-7.0517365767727602E-2"/>
                </c:manualLayout>
              </c:layout>
              <c:tx>
                <c:rich>
                  <a:bodyPr/>
                  <a:lstStyle/>
                  <a:p>
                    <a:fld id="{7DDB6708-796F-488F-8990-9EE4F94C0136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873241799215089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19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78E-2"/>
                </c:manualLayout>
              </c:layout>
              <c:tx>
                <c:rich>
                  <a:bodyPr/>
                  <a:lstStyle/>
                  <a:p>
                    <a:fld id="{236EC141-7316-492E-A1C2-5823E680C8E0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tx>
                <c:rich>
                  <a:bodyPr/>
                  <a:lstStyle/>
                  <a:p>
                    <a:fld id="{4AB787EA-66A5-4F69-A289-EB03E96B5671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3404461333284615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80124E-2"/>
                  <c:y val="-7.0642181531693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0.4</c:v>
                </c:pt>
                <c:pt idx="1">
                  <c:v>0.4</c:v>
                </c:pt>
                <c:pt idx="2">
                  <c:v>0</c:v>
                </c:pt>
                <c:pt idx="3">
                  <c:v>0.3</c:v>
                </c:pt>
                <c:pt idx="4">
                  <c:v>0.4</c:v>
                </c:pt>
                <c:pt idx="5">
                  <c:v>0.1</c:v>
                </c:pt>
                <c:pt idx="6">
                  <c:v>0.4</c:v>
                </c:pt>
                <c:pt idx="7">
                  <c:v>0</c:v>
                </c:pt>
                <c:pt idx="8">
                  <c:v>0.3</c:v>
                </c:pt>
                <c:pt idx="9">
                  <c:v>0.2</c:v>
                </c:pt>
                <c:pt idx="10">
                  <c:v>0.1</c:v>
                </c:pt>
                <c:pt idx="11">
                  <c:v>0.4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6054096"/>
        <c:axId val="356054656"/>
      </c:lineChart>
      <c:catAx>
        <c:axId val="356054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6054656"/>
        <c:crosses val="autoZero"/>
        <c:auto val="1"/>
        <c:lblAlgn val="ctr"/>
        <c:lblOffset val="200"/>
        <c:noMultiLvlLbl val="0"/>
      </c:catAx>
      <c:valAx>
        <c:axId val="356054656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605409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73162909582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409918570917204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3891458126467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181159056414019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90A2EA69-7EE4-4775-94DC-1AFA72EF5CA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4.334545188811955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C4AF531A-573F-4A3E-BF92-46B7F2686DEE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5.3092021180956579E-2"/>
                  <c:y val="-6.7077407904113165E-2"/>
                </c:manualLayout>
              </c:layout>
              <c:tx>
                <c:rich>
                  <a:bodyPr/>
                  <a:lstStyle/>
                  <a:p>
                    <a:fld id="{8A9B8D20-294D-4164-A8A9-E91AD04DB817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1782490487571144E-2"/>
                  <c:y val="-8.1759636706457334E-2"/>
                </c:manualLayout>
              </c:layout>
              <c:tx>
                <c:rich>
                  <a:bodyPr/>
                  <a:lstStyle/>
                  <a:p>
                    <a:fld id="{7B756589-94AC-4423-841B-17862209108C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5.715391829878496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49825624810697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1.5488534001137123E-2"/>
                  <c:y val="-3.188555899315283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30590899446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7731567497695783E-4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0.3</c:v>
                </c:pt>
                <c:pt idx="1">
                  <c:v>1.2</c:v>
                </c:pt>
                <c:pt idx="2">
                  <c:v>0.1</c:v>
                </c:pt>
                <c:pt idx="3">
                  <c:v>2.2000000000000002</c:v>
                </c:pt>
                <c:pt idx="4">
                  <c:v>1</c:v>
                </c:pt>
                <c:pt idx="5">
                  <c:v>0.5</c:v>
                </c:pt>
                <c:pt idx="6">
                  <c:v>0</c:v>
                </c:pt>
                <c:pt idx="7">
                  <c:v>0.2</c:v>
                </c:pt>
                <c:pt idx="8">
                  <c:v>0.3</c:v>
                </c:pt>
                <c:pt idx="9">
                  <c:v>1.2</c:v>
                </c:pt>
                <c:pt idx="10">
                  <c:v>-0.7</c:v>
                </c:pt>
                <c:pt idx="11">
                  <c:v>0.7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7652480"/>
        <c:axId val="297653040"/>
      </c:lineChart>
      <c:catAx>
        <c:axId val="29765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653040"/>
        <c:crosses val="autoZero"/>
        <c:auto val="1"/>
        <c:lblAlgn val="ctr"/>
        <c:lblOffset val="200"/>
        <c:noMultiLvlLbl val="0"/>
      </c:catAx>
      <c:valAx>
        <c:axId val="29765304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6524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76DC40-BFFD-43C9-9874-838589A9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3631</Words>
  <Characters>2071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50806</cp:lastModifiedBy>
  <cp:revision>18</cp:revision>
  <dcterms:created xsi:type="dcterms:W3CDTF">2025-11-11T08:22:00Z</dcterms:created>
  <dcterms:modified xsi:type="dcterms:W3CDTF">2025-11-13T07:10:00Z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